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i w:val="0"/>
          <w:color w:val="1F3A68"/>
          <w:sz w:val="44"/>
        </w:rPr>
        <w:t>MARKET ANALYSIS REPORT</w:t>
      </w:r>
    </w:p>
    <w:p>
      <w:pPr>
        <w:jc w:val="center"/>
      </w:pPr>
      <w:r>
        <w:rPr>
          <w:b w:val="0"/>
          <w:i/>
          <w:color w:val="C9A227"/>
          <w:sz w:val="26"/>
        </w:rPr>
        <w:t>U.S. Title Insurance Sector — Q1 2026</w:t>
      </w:r>
    </w:p>
    <w:p>
      <w:r>
        <w:rPr>
          <w:b w:val="0"/>
          <w:i w:val="0"/>
          <w:sz w:val="22"/>
        </w:rPr>
      </w:r>
    </w:p>
    <w:p>
      <w:pPr>
        <w:jc w:val="center"/>
      </w:pPr>
      <w:r>
        <w:rPr>
          <w:b w:val="0"/>
          <w:i w:val="0"/>
          <w:color w:val="555555"/>
          <w:sz w:val="22"/>
        </w:rPr>
        <w:t>Prepared by: Ali Raza, Business Support Service Analyst</w:t>
      </w:r>
    </w:p>
    <w:p>
      <w:pPr>
        <w:jc w:val="center"/>
      </w:pPr>
      <w:r>
        <w:rPr>
          <w:b w:val="0"/>
          <w:i w:val="0"/>
          <w:color w:val="555555"/>
          <w:sz w:val="22"/>
        </w:rPr>
        <w:t>Date: May 2026  |  Confidential — For Internal Distribution</w:t>
      </w:r>
    </w:p>
    <w:p>
      <w:r>
        <w:br w:type="page"/>
      </w:r>
    </w:p>
    <w:p>
      <w:pPr>
        <w:pStyle w:val="Heading1"/>
      </w:pPr>
      <w:r>
        <w:rPr>
          <w:rFonts w:ascii="Calibri" w:hAnsi="Calibri"/>
          <w:color w:val="1F3A68"/>
        </w:rPr>
        <w:t>Executive Summary</w:t>
      </w:r>
    </w:p>
    <w:p>
      <w:pPr>
        <w:jc w:val="both"/>
      </w:pPr>
      <w:r>
        <w:rPr>
          <w:b w:val="0"/>
          <w:i w:val="0"/>
          <w:sz w:val="22"/>
        </w:rPr>
        <w:t>The U.S. title insurance market entered Q1 2026 with cautious optimism. Premium volume rose 6.2% year-on-year, driven by a partial recovery in residential refinance activity and continued strength in commercial title work. This report consolidates data from Fidelity National, First American, Old Republic, and Stewart Title quarterly disclosures, with supplementary data from MBA, FRED, and internal pipeline analytics.</w:t>
      </w:r>
    </w:p>
    <w:p>
      <w:pPr>
        <w:pStyle w:val="Heading1"/>
      </w:pPr>
      <w:r>
        <w:rPr>
          <w:rFonts w:ascii="Calibri" w:hAnsi="Calibri"/>
          <w:color w:val="1F3A68"/>
        </w:rPr>
        <w:t>1. Methodology</w:t>
      </w:r>
    </w:p>
    <w:p>
      <w:pPr>
        <w:jc w:val="both"/>
      </w:pPr>
      <w:r>
        <w:rPr>
          <w:b w:val="0"/>
          <w:i w:val="0"/>
          <w:sz w:val="22"/>
        </w:rPr>
        <w:t>Data was collected from public 10-Q filings, MBA Weekly Applications Survey, Federal Reserve H.15 release, and internal order-opening systems (RPL-Title, HELOC, Trident). Data cleaning and transformation were performed in Python (pandas) with reproducible Power Query steps. Statistical validation used pairwise t-tests in R (significance threshold p &lt; 0.05).</w:t>
      </w:r>
    </w:p>
    <w:p>
      <w:pPr>
        <w:pStyle w:val="Heading1"/>
      </w:pPr>
      <w:r>
        <w:rPr>
          <w:rFonts w:ascii="Calibri" w:hAnsi="Calibri"/>
          <w:color w:val="1F3A68"/>
        </w:rPr>
        <w:t>2. Key Findings</w:t>
      </w:r>
    </w:p>
    <w:p>
      <w:pPr>
        <w:pStyle w:val="ListBullet"/>
      </w:pPr>
      <w:r>
        <w:t>Premium volume: +6.2% YoY ($4.41B in Q1 2026 vs. $4.15B in Q1 2025).</w:t>
      </w:r>
    </w:p>
    <w:p>
      <w:pPr>
        <w:pStyle w:val="ListBullet"/>
      </w:pPr>
      <w:r>
        <w:t>Residential refinance: rebounded 18.7% QoQ as the 30-year fixed mortgage rate eased to 6.1%.</w:t>
      </w:r>
    </w:p>
    <w:p>
      <w:pPr>
        <w:pStyle w:val="ListBullet"/>
      </w:pPr>
      <w:r>
        <w:t>Commercial title: largest contributor to margin expansion, +9.1% YoY in net premiums.</w:t>
      </w:r>
    </w:p>
    <w:p>
      <w:pPr>
        <w:pStyle w:val="ListBullet"/>
      </w:pPr>
      <w:r>
        <w:t>HELOC origination: surged 22% YoY, increasing pipeline volume in the Linear and HELOC workflows.</w:t>
      </w:r>
    </w:p>
    <w:p>
      <w:pPr>
        <w:pStyle w:val="ListBullet"/>
      </w:pPr>
      <w:r>
        <w:t>Loss ratio: improved to 3.8% (industry average), versus 4.4% in the prior year.</w:t>
      </w:r>
    </w:p>
    <w:p>
      <w:pPr>
        <w:pStyle w:val="Heading1"/>
      </w:pPr>
      <w:r>
        <w:rPr>
          <w:rFonts w:ascii="Calibri" w:hAnsi="Calibri"/>
          <w:color w:val="1F3A68"/>
        </w:rPr>
        <w:t>3. Competitive Landscape</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shd w:val="clear" w:color="auto" w:fill="1F3A68"/>
          </w:tcPr>
          <w:p>
            <w:r>
              <w:rPr>
                <w:b/>
                <w:color w:val="FFFFFF"/>
              </w:rPr>
              <w:t>Company</w:t>
            </w:r>
          </w:p>
        </w:tc>
        <w:tc>
          <w:tcPr>
            <w:tcW w:type="dxa" w:w="2160"/>
            <w:shd w:val="clear" w:color="auto" w:fill="1F3A68"/>
          </w:tcPr>
          <w:p>
            <w:r>
              <w:rPr>
                <w:b/>
                <w:color w:val="FFFFFF"/>
              </w:rPr>
              <w:t>Market Share</w:t>
            </w:r>
          </w:p>
        </w:tc>
        <w:tc>
          <w:tcPr>
            <w:tcW w:type="dxa" w:w="2160"/>
            <w:shd w:val="clear" w:color="auto" w:fill="1F3A68"/>
          </w:tcPr>
          <w:p>
            <w:r>
              <w:rPr>
                <w:b/>
                <w:color w:val="FFFFFF"/>
              </w:rPr>
              <w:t>Q1 2026 Premiums ($B)</w:t>
            </w:r>
          </w:p>
        </w:tc>
        <w:tc>
          <w:tcPr>
            <w:tcW w:type="dxa" w:w="2160"/>
            <w:shd w:val="clear" w:color="auto" w:fill="1F3A68"/>
          </w:tcPr>
          <w:p>
            <w:r>
              <w:rPr>
                <w:b/>
                <w:color w:val="FFFFFF"/>
              </w:rPr>
              <w:t>YoY Change</w:t>
            </w:r>
          </w:p>
        </w:tc>
      </w:tr>
      <w:tr>
        <w:tc>
          <w:tcPr>
            <w:tcW w:type="dxa" w:w="2160"/>
          </w:tcPr>
          <w:p>
            <w:r>
              <w:t>Fidelity National Financial</w:t>
            </w:r>
          </w:p>
        </w:tc>
        <w:tc>
          <w:tcPr>
            <w:tcW w:type="dxa" w:w="2160"/>
          </w:tcPr>
          <w:p>
            <w:r>
              <w:t>32.4%</w:t>
            </w:r>
          </w:p>
        </w:tc>
        <w:tc>
          <w:tcPr>
            <w:tcW w:type="dxa" w:w="2160"/>
          </w:tcPr>
          <w:p>
            <w:r>
              <w:t>1.43</w:t>
            </w:r>
          </w:p>
        </w:tc>
        <w:tc>
          <w:tcPr>
            <w:tcW w:type="dxa" w:w="2160"/>
          </w:tcPr>
          <w:p>
            <w:r>
              <w:t>+5.8%</w:t>
            </w:r>
          </w:p>
        </w:tc>
      </w:tr>
      <w:tr>
        <w:tc>
          <w:tcPr>
            <w:tcW w:type="dxa" w:w="2160"/>
          </w:tcPr>
          <w:p>
            <w:r>
              <w:t>First American</w:t>
            </w:r>
          </w:p>
        </w:tc>
        <w:tc>
          <w:tcPr>
            <w:tcW w:type="dxa" w:w="2160"/>
          </w:tcPr>
          <w:p>
            <w:r>
              <w:t>23.7%</w:t>
            </w:r>
          </w:p>
        </w:tc>
        <w:tc>
          <w:tcPr>
            <w:tcW w:type="dxa" w:w="2160"/>
          </w:tcPr>
          <w:p>
            <w:r>
              <w:t>1.05</w:t>
            </w:r>
          </w:p>
        </w:tc>
        <w:tc>
          <w:tcPr>
            <w:tcW w:type="dxa" w:w="2160"/>
          </w:tcPr>
          <w:p>
            <w:r>
              <w:t>+7.1%</w:t>
            </w:r>
          </w:p>
        </w:tc>
      </w:tr>
      <w:tr>
        <w:tc>
          <w:tcPr>
            <w:tcW w:type="dxa" w:w="2160"/>
          </w:tcPr>
          <w:p>
            <w:r>
              <w:t>Old Republic</w:t>
            </w:r>
          </w:p>
        </w:tc>
        <w:tc>
          <w:tcPr>
            <w:tcW w:type="dxa" w:w="2160"/>
          </w:tcPr>
          <w:p>
            <w:r>
              <w:t>14.9%</w:t>
            </w:r>
          </w:p>
        </w:tc>
        <w:tc>
          <w:tcPr>
            <w:tcW w:type="dxa" w:w="2160"/>
          </w:tcPr>
          <w:p>
            <w:r>
              <w:t>0.66</w:t>
            </w:r>
          </w:p>
        </w:tc>
        <w:tc>
          <w:tcPr>
            <w:tcW w:type="dxa" w:w="2160"/>
          </w:tcPr>
          <w:p>
            <w:r>
              <w:t>+4.3%</w:t>
            </w:r>
          </w:p>
        </w:tc>
      </w:tr>
      <w:tr>
        <w:tc>
          <w:tcPr>
            <w:tcW w:type="dxa" w:w="2160"/>
          </w:tcPr>
          <w:p>
            <w:r>
              <w:t>Stewart Title</w:t>
            </w:r>
          </w:p>
        </w:tc>
        <w:tc>
          <w:tcPr>
            <w:tcW w:type="dxa" w:w="2160"/>
          </w:tcPr>
          <w:p>
            <w:r>
              <w:t>10.8%</w:t>
            </w:r>
          </w:p>
        </w:tc>
        <w:tc>
          <w:tcPr>
            <w:tcW w:type="dxa" w:w="2160"/>
          </w:tcPr>
          <w:p>
            <w:r>
              <w:t>0.48</w:t>
            </w:r>
          </w:p>
        </w:tc>
        <w:tc>
          <w:tcPr>
            <w:tcW w:type="dxa" w:w="2160"/>
          </w:tcPr>
          <w:p>
            <w:r>
              <w:t>+6.6%</w:t>
            </w:r>
          </w:p>
        </w:tc>
      </w:tr>
    </w:tbl>
    <w:p>
      <w:pPr>
        <w:pStyle w:val="Heading1"/>
      </w:pPr>
      <w:r>
        <w:rPr>
          <w:rFonts w:ascii="Calibri" w:hAnsi="Calibri"/>
          <w:color w:val="1F3A68"/>
        </w:rPr>
        <w:t>4. Strategic Recommendations</w:t>
      </w:r>
    </w:p>
    <w:p>
      <w:pPr>
        <w:pStyle w:val="ListBullet"/>
      </w:pPr>
      <w:r>
        <w:t>Increase capacity in HELOC and refinance pipelines to capture rebound demand.</w:t>
      </w:r>
    </w:p>
    <w:p>
      <w:pPr>
        <w:pStyle w:val="ListBullet"/>
      </w:pPr>
      <w:r>
        <w:t>Adjust product rates upward by 1.5–2.0% on commercial titles where margin opportunity exists.</w:t>
      </w:r>
    </w:p>
    <w:p>
      <w:pPr>
        <w:pStyle w:val="ListBullet"/>
      </w:pPr>
      <w:r>
        <w:t>Invest in Power BI dashboarding to give regional managers near-real-time pipeline visibility.</w:t>
      </w:r>
    </w:p>
    <w:p>
      <w:pPr>
        <w:pStyle w:val="ListBullet"/>
      </w:pPr>
      <w:r>
        <w:t>Continue Python automation roll-out to reduce manual reconciliation by an estimated 35%.</w:t>
      </w:r>
    </w:p>
    <w:p>
      <w:pPr>
        <w:pStyle w:val="Heading1"/>
      </w:pPr>
      <w:r>
        <w:rPr>
          <w:rFonts w:ascii="Calibri" w:hAnsi="Calibri"/>
          <w:color w:val="1F3A68"/>
        </w:rPr>
        <w:t>5. Risks &amp; Watch Items</w:t>
      </w:r>
    </w:p>
    <w:p>
      <w:pPr>
        <w:jc w:val="both"/>
      </w:pPr>
      <w:r>
        <w:rPr>
          <w:b w:val="0"/>
          <w:i w:val="0"/>
          <w:sz w:val="22"/>
        </w:rPr>
        <w:t>Mortgage rate volatility, persistent affordability constraints, and a softer commercial real estate outlook represent the most material downside risks. Mitigation: diversify pipeline mix; build scenario models stress-tested at +/-100bps rate shifts.</w:t>
      </w:r>
    </w:p>
    <w:p>
      <w:pPr>
        <w:pStyle w:val="Heading1"/>
      </w:pPr>
      <w:r>
        <w:rPr>
          <w:rFonts w:ascii="Calibri" w:hAnsi="Calibri"/>
          <w:color w:val="1F3A68"/>
        </w:rPr>
        <w:t>Appendix A — Data Sources</w:t>
      </w:r>
    </w:p>
    <w:p>
      <w:pPr>
        <w:pStyle w:val="ListBullet"/>
      </w:pPr>
      <w:r>
        <w:t>Mortgage Bankers Association (MBA) Weekly Applications Survey, Q1 2026.</w:t>
      </w:r>
    </w:p>
    <w:p>
      <w:pPr>
        <w:pStyle w:val="ListBullet"/>
      </w:pPr>
      <w:r>
        <w:t>Federal Reserve H.15 Release — Selected Interest Rates, January–March 2026.</w:t>
      </w:r>
    </w:p>
    <w:p>
      <w:pPr>
        <w:pStyle w:val="ListBullet"/>
      </w:pPr>
      <w:r>
        <w:t>Fidelity National Financial 10-Q, Q1 2026, SEC EDGAR.</w:t>
      </w:r>
    </w:p>
    <w:p>
      <w:pPr>
        <w:pStyle w:val="ListBullet"/>
      </w:pPr>
      <w:r>
        <w:t>First American Financial 10-Q, Q1 2026, SEC EDGAR.</w:t>
      </w:r>
    </w:p>
    <w:p>
      <w:pPr>
        <w:pStyle w:val="ListBullet"/>
      </w:pPr>
      <w:r>
        <w:t>Old Republic International 10-Q, Q1 2026, SEC EDGAR.</w:t>
      </w:r>
    </w:p>
    <w:p>
      <w:pPr>
        <w:pStyle w:val="ListBullet"/>
      </w:pPr>
      <w:r>
        <w:t>Stewart Information Services 10-Q, Q1 2026, SEC EDGAR.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